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rajan Pro" w:hAnsi="Trajan Pro"/>
          <w:b/>
          <w:sz w:val="28"/>
          <w:szCs w:val="28"/>
        </w:rPr>
      </w:pPr>
      <w:r>
        <w:drawing>
          <wp:anchor distT="0" distB="0" distL="114300" distR="114300" simplePos="0" relativeHeight="251659264" behindDoc="0" locked="0" layoutInCell="1" allowOverlap="1">
            <wp:simplePos x="0" y="0"/>
            <wp:positionH relativeFrom="column">
              <wp:posOffset>-807720</wp:posOffset>
            </wp:positionH>
            <wp:positionV relativeFrom="margin">
              <wp:posOffset>-185420</wp:posOffset>
            </wp:positionV>
            <wp:extent cx="899795" cy="899795"/>
            <wp:effectExtent l="0" t="0" r="0" b="0"/>
            <wp:wrapTight wrapText="bothSides">
              <wp:wrapPolygon>
                <wp:start x="6402" y="0"/>
                <wp:lineTo x="3201" y="1829"/>
                <wp:lineTo x="0" y="5488"/>
                <wp:lineTo x="0" y="16006"/>
                <wp:lineTo x="5030" y="21036"/>
                <wp:lineTo x="6402" y="21036"/>
                <wp:lineTo x="14634" y="21036"/>
                <wp:lineTo x="16006" y="21036"/>
                <wp:lineTo x="21036" y="16006"/>
                <wp:lineTo x="21036" y="5488"/>
                <wp:lineTo x="17835" y="1829"/>
                <wp:lineTo x="14634" y="0"/>
                <wp:lineTo x="6402"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stretch>
                      <a:fillRect/>
                    </a:stretch>
                  </pic:blipFill>
                  <pic:spPr>
                    <a:xfrm>
                      <a:off x="0" y="0"/>
                      <a:ext cx="899795" cy="899795"/>
                    </a:xfrm>
                    <a:prstGeom prst="rect">
                      <a:avLst/>
                    </a:prstGeom>
                  </pic:spPr>
                </pic:pic>
              </a:graphicData>
            </a:graphic>
          </wp:anchor>
        </w:drawing>
      </w:r>
      <w:r>
        <w:drawing>
          <wp:anchor distT="0" distB="0" distL="0" distR="0" simplePos="0" relativeHeight="251660288" behindDoc="0" locked="0" layoutInCell="1" allowOverlap="1">
            <wp:simplePos x="0" y="0"/>
            <wp:positionH relativeFrom="column">
              <wp:posOffset>4036695</wp:posOffset>
            </wp:positionH>
            <wp:positionV relativeFrom="paragraph">
              <wp:posOffset>31115</wp:posOffset>
            </wp:positionV>
            <wp:extent cx="1948180" cy="686435"/>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9"/>
                    <a:srcRect l="8895" t="37459" r="12559" b="37552"/>
                    <a:stretch>
                      <a:fillRect/>
                    </a:stretch>
                  </pic:blipFill>
                  <pic:spPr>
                    <a:xfrm>
                      <a:off x="0" y="0"/>
                      <a:ext cx="1948180" cy="686435"/>
                    </a:xfrm>
                    <a:prstGeom prst="rect">
                      <a:avLst/>
                    </a:prstGeom>
                  </pic:spPr>
                </pic:pic>
              </a:graphicData>
            </a:graphic>
          </wp:anchor>
        </w:drawing>
      </w:r>
      <w:r>
        <w:rPr>
          <w:rFonts w:ascii="Trajan Pro" w:hAnsi="Trajan Pro"/>
          <w:b/>
          <w:sz w:val="28"/>
          <w:szCs w:val="28"/>
        </w:rPr>
        <w:t xml:space="preserve">MINISTERUL FINANȚELOR       </w:t>
      </w:r>
    </w:p>
    <w:p>
      <w:pPr>
        <w:spacing w:after="46"/>
        <w:rPr>
          <w:rFonts w:ascii="Trebuchet MS" w:hAnsi="Trebuchet MS"/>
          <w:b/>
          <w:sz w:val="24"/>
          <w:szCs w:val="24"/>
          <w:lang w:val="ro-RO"/>
        </w:rPr>
      </w:pPr>
      <w:r>
        <w:rPr>
          <w:rFonts w:ascii="Trebuchet MS" w:hAnsi="Trebuchet MS"/>
          <w:b/>
          <w:sz w:val="24"/>
          <w:szCs w:val="24"/>
        </w:rPr>
        <w:t>Agen</w:t>
      </w:r>
      <w:r>
        <w:rPr>
          <w:rFonts w:ascii="Trebuchet MS" w:hAnsi="Trebuchet MS"/>
          <w:b/>
          <w:sz w:val="24"/>
          <w:szCs w:val="24"/>
          <w:lang w:val="ro-RO"/>
        </w:rPr>
        <w:t>ția Națională de Administrare Fiscală</w:t>
      </w:r>
    </w:p>
    <w:p>
      <w:pPr>
        <w:rPr>
          <w:rFonts w:ascii="Trebuchet MS" w:hAnsi="Trebuchet MS" w:cs="Arial"/>
          <w:b/>
          <w:bCs/>
          <w:sz w:val="24"/>
          <w:szCs w:val="24"/>
          <w:lang w:val="pt-BR"/>
        </w:rPr>
      </w:pPr>
      <w:r>
        <w:rPr>
          <w:rFonts w:ascii="Trebuchet MS" w:hAnsi="Trebuchet MS"/>
          <w:b/>
          <w:sz w:val="24"/>
          <w:szCs w:val="24"/>
        </w:rPr>
        <w:t xml:space="preserve"> </w:t>
      </w:r>
    </w:p>
    <w:p>
      <w:pPr>
        <w:spacing w:after="40" w:line="240" w:lineRule="auto"/>
        <w:rPr>
          <w:rFonts w:ascii="Trebuchet MS" w:hAnsi="Trebuchet MS" w:cs="Arial"/>
          <w:b/>
          <w:bCs/>
          <w:sz w:val="24"/>
          <w:szCs w:val="24"/>
          <w:lang w:val="pt-BR"/>
        </w:rPr>
      </w:pPr>
    </w:p>
    <w:p>
      <w:pPr>
        <w:spacing w:after="40" w:line="240" w:lineRule="auto"/>
        <w:rPr>
          <w:rFonts w:ascii="Trebuchet MS" w:hAnsi="Trebuchet MS" w:cs="Arial"/>
          <w:b/>
          <w:bCs/>
          <w:sz w:val="24"/>
          <w:szCs w:val="24"/>
          <w:lang w:val="pt-BR"/>
        </w:rPr>
      </w:pPr>
    </w:p>
    <w:p>
      <w:pPr>
        <w:jc w:val="center"/>
        <w:rPr>
          <w:rFonts w:hint="default" w:ascii="Trebuchet MS" w:hAnsi="Trebuchet MS" w:cs="Arial"/>
          <w:bCs/>
          <w:sz w:val="24"/>
          <w:szCs w:val="24"/>
          <w:lang w:val="en-US" w:eastAsia="en-US"/>
        </w:rPr>
      </w:pPr>
      <w:r>
        <w:rPr>
          <w:rFonts w:hint="default" w:ascii="Trebuchet MS" w:hAnsi="Trebuchet MS" w:eastAsia="Calibri" w:cs="Arial"/>
          <w:b/>
          <w:bCs/>
          <w:i/>
          <w:iCs/>
          <w:color w:val="000000"/>
          <w:kern w:val="0"/>
          <w:sz w:val="24"/>
          <w:szCs w:val="24"/>
          <w:u w:val="none"/>
          <w:lang w:val="pt-BR" w:eastAsia="en-US" w:bidi="ar-SA"/>
        </w:rPr>
        <w:t>Referat</w:t>
      </w:r>
      <w:r>
        <w:rPr>
          <w:rFonts w:hint="default" w:ascii="Trebuchet MS" w:hAnsi="Trebuchet MS" w:cs="Arial"/>
          <w:b/>
          <w:bCs/>
          <w:i/>
          <w:iCs/>
          <w:color w:val="000000"/>
          <w:kern w:val="0"/>
          <w:sz w:val="24"/>
          <w:szCs w:val="24"/>
          <w:u w:val="none"/>
          <w:lang w:val="en-US" w:eastAsia="en-US" w:bidi="ar-SA"/>
        </w:rPr>
        <w:t xml:space="preserve"> de aprobare </w:t>
      </w:r>
    </w:p>
    <w:p>
      <w:pPr>
        <w:pStyle w:val="22"/>
        <w:keepNext w:val="0"/>
        <w:keepLines w:val="0"/>
        <w:pageBreakBefore w:val="0"/>
        <w:widowControl/>
        <w:kinsoku/>
        <w:wordWrap/>
        <w:overflowPunct/>
        <w:topLinePunct w:val="0"/>
        <w:autoSpaceDE w:val="0"/>
        <w:autoSpaceDN/>
        <w:bidi w:val="0"/>
        <w:adjustRightInd/>
        <w:snapToGrid/>
        <w:spacing w:line="240" w:lineRule="auto"/>
        <w:ind w:left="17" w:leftChars="0" w:hanging="17" w:hangingChars="7"/>
        <w:jc w:val="both"/>
        <w:textAlignment w:val="auto"/>
        <w:outlineLvl w:val="9"/>
        <w:rPr>
          <w:rFonts w:hint="default" w:ascii="Trebuchet MS" w:hAnsi="Trebuchet MS" w:eastAsia="Calibri" w:cs="Arial"/>
          <w:b/>
          <w:bCs/>
          <w:i/>
          <w:iCs/>
          <w:color w:val="000000"/>
          <w:kern w:val="0"/>
          <w:sz w:val="24"/>
          <w:szCs w:val="24"/>
          <w:u w:val="none"/>
          <w:lang w:val="ro-RO" w:eastAsia="en-US" w:bidi="ar-SA"/>
        </w:rPr>
      </w:pPr>
      <w:r>
        <w:rPr>
          <w:rFonts w:hint="default" w:ascii="Trebuchet MS" w:hAnsi="Trebuchet MS" w:eastAsia="Calibri" w:cs="Arial"/>
          <w:b/>
          <w:bCs/>
          <w:i/>
          <w:iCs/>
          <w:color w:val="000000"/>
          <w:kern w:val="0"/>
          <w:sz w:val="24"/>
          <w:szCs w:val="24"/>
          <w:u w:val="none"/>
          <w:lang w:val="pt-BR" w:eastAsia="en-US" w:bidi="ar-SA"/>
        </w:rPr>
        <w:t xml:space="preserve"> </w:t>
      </w:r>
      <w:r>
        <w:rPr>
          <w:rFonts w:hint="default" w:ascii="Trebuchet MS" w:hAnsi="Trebuchet MS" w:cs="Arial"/>
          <w:b/>
          <w:bCs/>
          <w:i/>
          <w:iCs/>
          <w:color w:val="000000"/>
          <w:kern w:val="0"/>
          <w:sz w:val="24"/>
          <w:szCs w:val="24"/>
          <w:u w:val="none"/>
          <w:lang w:val="en-US" w:eastAsia="en-US" w:bidi="ar-SA"/>
        </w:rPr>
        <w:t xml:space="preserve">a </w:t>
      </w:r>
      <w:r>
        <w:rPr>
          <w:rFonts w:hint="default" w:ascii="Trebuchet MS" w:hAnsi="Trebuchet MS" w:eastAsia="Calibri" w:cs="Arial"/>
          <w:b/>
          <w:bCs/>
          <w:i/>
          <w:iCs/>
          <w:color w:val="000000"/>
          <w:kern w:val="0"/>
          <w:sz w:val="24"/>
          <w:szCs w:val="24"/>
          <w:u w:val="none"/>
          <w:lang w:val="pt-BR" w:eastAsia="en-US" w:bidi="ar-SA"/>
        </w:rPr>
        <w:t>proiect</w:t>
      </w:r>
      <w:r>
        <w:rPr>
          <w:rFonts w:hint="default" w:ascii="Trebuchet MS" w:hAnsi="Trebuchet MS" w:cs="Arial"/>
          <w:b/>
          <w:bCs/>
          <w:i/>
          <w:iCs/>
          <w:color w:val="000000"/>
          <w:kern w:val="0"/>
          <w:sz w:val="24"/>
          <w:szCs w:val="24"/>
          <w:u w:val="none"/>
          <w:lang w:val="en-US" w:eastAsia="en-US" w:bidi="ar-SA"/>
        </w:rPr>
        <w:t>ului</w:t>
      </w:r>
      <w:r>
        <w:rPr>
          <w:rFonts w:hint="default" w:ascii="Trebuchet MS" w:hAnsi="Trebuchet MS" w:eastAsia="Calibri" w:cs="Arial"/>
          <w:b/>
          <w:bCs/>
          <w:i/>
          <w:iCs/>
          <w:color w:val="000000"/>
          <w:kern w:val="0"/>
          <w:sz w:val="24"/>
          <w:szCs w:val="24"/>
          <w:u w:val="none"/>
          <w:lang w:val="pt-BR" w:eastAsia="en-US" w:bidi="ar-SA"/>
        </w:rPr>
        <w:t xml:space="preserve"> ordin </w:t>
      </w:r>
      <w:r>
        <w:rPr>
          <w:rFonts w:hint="default" w:ascii="Trebuchet MS" w:hAnsi="Trebuchet MS" w:cs="Arial"/>
          <w:b/>
          <w:bCs/>
          <w:i/>
          <w:iCs/>
          <w:color w:val="000000"/>
          <w:kern w:val="0"/>
          <w:sz w:val="24"/>
          <w:szCs w:val="24"/>
          <w:u w:val="none"/>
          <w:lang w:val="ro-RO" w:eastAsia="en-US" w:bidi="ar-SA"/>
        </w:rPr>
        <w:t xml:space="preserve">privind modificarea și </w:t>
      </w:r>
      <w:r>
        <w:rPr>
          <w:rFonts w:hint="default" w:ascii="Trebuchet MS" w:hAnsi="Trebuchet MS" w:eastAsia="Calibri" w:cs="Arial"/>
          <w:b/>
          <w:bCs/>
          <w:i/>
          <w:iCs/>
          <w:color w:val="000000"/>
          <w:kern w:val="0"/>
          <w:sz w:val="24"/>
          <w:szCs w:val="24"/>
          <w:u w:val="none"/>
          <w:lang w:val="ro-RO" w:eastAsia="en-US" w:bidi="ar-SA"/>
        </w:rPr>
        <w:t>completarea Ordinului președintelui Agenției Naționale de Administrare Fiscală nr.587/2016 pentru aprobarea modelului şi conţinutului formularelor utilizate pentru declararea impozitelor şi taxelor</w:t>
      </w:r>
      <w:r>
        <w:rPr>
          <w:rFonts w:hint="default" w:ascii="Trebuchet MS" w:hAnsi="Trebuchet MS" w:cs="Arial"/>
          <w:b/>
          <w:bCs/>
          <w:i/>
          <w:iCs/>
          <w:color w:val="000000"/>
          <w:kern w:val="0"/>
          <w:sz w:val="24"/>
          <w:szCs w:val="24"/>
          <w:u w:val="none"/>
          <w:lang w:val="en-US" w:eastAsia="en-US" w:bidi="ar-SA"/>
        </w:rPr>
        <w:t xml:space="preserve"> </w:t>
      </w:r>
      <w:r>
        <w:rPr>
          <w:rFonts w:hint="default" w:ascii="Trebuchet MS" w:hAnsi="Trebuchet MS" w:eastAsia="Calibri" w:cs="Arial"/>
          <w:b/>
          <w:bCs/>
          <w:i/>
          <w:iCs/>
          <w:color w:val="000000"/>
          <w:kern w:val="0"/>
          <w:sz w:val="24"/>
          <w:szCs w:val="24"/>
          <w:u w:val="none"/>
          <w:lang w:val="ro-RO" w:eastAsia="en-US" w:bidi="ar-SA"/>
        </w:rPr>
        <w:t xml:space="preserve"> cu regim de stabilire prin autoimpunere sau reţinere la sursă</w:t>
      </w:r>
    </w:p>
    <w:p>
      <w:pPr>
        <w:keepNext w:val="0"/>
        <w:keepLines w:val="0"/>
        <w:pageBreakBefore w:val="0"/>
        <w:widowControl/>
        <w:kinsoku/>
        <w:wordWrap/>
        <w:overflowPunct/>
        <w:topLinePunct w:val="0"/>
        <w:autoSpaceDE/>
        <w:autoSpaceDN/>
        <w:bidi w:val="0"/>
        <w:adjustRightInd/>
        <w:snapToGrid/>
        <w:spacing w:after="40" w:line="240" w:lineRule="auto"/>
        <w:textAlignment w:val="auto"/>
        <w:outlineLvl w:val="9"/>
        <w:rPr>
          <w:rFonts w:ascii="Trebuchet MS" w:hAnsi="Trebuchet MS" w:cs="Arial"/>
          <w:color w:val="000000"/>
          <w:kern w:val="0"/>
          <w:sz w:val="24"/>
          <w:szCs w:val="24"/>
          <w:lang w:val="ro-RO" w:eastAsia="en-US"/>
        </w:rPr>
      </w:pPr>
    </w:p>
    <w:p>
      <w:pPr>
        <w:suppressAutoHyphens/>
        <w:spacing w:before="240" w:line="240" w:lineRule="auto"/>
        <w:jc w:val="both"/>
        <w:rPr>
          <w:rFonts w:hint="default" w:ascii="Trebuchet MS" w:hAnsi="Trebuchet MS" w:cs="Trebuchet MS"/>
          <w:sz w:val="24"/>
          <w:szCs w:val="24"/>
          <w:lang w:val="ro-RO"/>
        </w:rPr>
      </w:pPr>
      <w:r>
        <w:rPr>
          <w:rFonts w:hint="default" w:ascii="Trebuchet MS" w:hAnsi="Trebuchet MS" w:cs="Trebuchet MS"/>
          <w:sz w:val="24"/>
          <w:szCs w:val="24"/>
          <w:lang w:val="ro-RO"/>
        </w:rPr>
        <w:t>Potrivit art.XXII din</w:t>
      </w:r>
      <w:r>
        <w:rPr>
          <w:rFonts w:ascii="Trebuchet MS" w:hAnsi="Trebuchet MS" w:cs="Trebuchet MS"/>
          <w:sz w:val="24"/>
          <w:szCs w:val="24"/>
          <w:lang w:val="ro-RO"/>
        </w:rPr>
        <w:t xml:space="preserve"> </w:t>
      </w:r>
      <w:r>
        <w:rPr>
          <w:rFonts w:hint="default" w:ascii="Trebuchet MS" w:hAnsi="Trebuchet MS" w:cs="Trebuchet MS"/>
          <w:sz w:val="24"/>
          <w:szCs w:val="24"/>
          <w:lang w:val="ro-RO"/>
        </w:rPr>
        <w:t>Legea nr.</w:t>
      </w:r>
      <w:r>
        <w:rPr>
          <w:rFonts w:hint="default" w:ascii="Trebuchet MS" w:hAnsi="Trebuchet MS" w:cs="Trebuchet MS"/>
          <w:sz w:val="24"/>
          <w:szCs w:val="24"/>
          <w:lang w:val="en-US"/>
        </w:rPr>
        <w:t>239</w:t>
      </w:r>
      <w:r>
        <w:rPr>
          <w:rFonts w:hint="default" w:ascii="Trebuchet MS" w:hAnsi="Trebuchet MS" w:cs="Trebuchet MS"/>
          <w:sz w:val="24"/>
          <w:szCs w:val="24"/>
          <w:lang w:val="ro-RO"/>
        </w:rPr>
        <w:t>/</w:t>
      </w:r>
      <w:r>
        <w:rPr>
          <w:rFonts w:hint="default" w:ascii="Trebuchet MS" w:hAnsi="Trebuchet MS" w:cs="Trebuchet MS"/>
          <w:sz w:val="24"/>
          <w:szCs w:val="24"/>
          <w:lang w:val="en-US"/>
        </w:rPr>
        <w:t>2025</w:t>
      </w:r>
      <w:r>
        <w:rPr>
          <w:rFonts w:hint="default" w:ascii="Trebuchet MS" w:hAnsi="Trebuchet MS" w:cs="Trebuchet MS"/>
          <w:sz w:val="24"/>
          <w:szCs w:val="24"/>
          <w:lang w:val="ro-RO"/>
        </w:rPr>
        <w:t xml:space="preserve"> pentru stabilirea unor măsuri de redresare și eficientizare a resurselor publice și pentru modificarea și completarea unor acte normative a fost instituită o taxă logistică pentru gestionarea fluxurilor de bunuri extracomunitare</w:t>
      </w:r>
      <w:r>
        <w:rPr>
          <w:rFonts w:ascii="Trebuchet MS" w:hAnsi="Trebuchet MS" w:cs="Trebuchet MS"/>
          <w:sz w:val="24"/>
          <w:szCs w:val="24"/>
          <w:lang w:val="ro-RO"/>
        </w:rPr>
        <w:t>.</w:t>
      </w:r>
      <w:r>
        <w:rPr>
          <w:rFonts w:hint="default" w:ascii="Trebuchet MS" w:hAnsi="Trebuchet MS" w:cs="Trebuchet MS"/>
          <w:sz w:val="24"/>
          <w:szCs w:val="24"/>
          <w:lang w:val="ro-RO"/>
        </w:rPr>
        <w:t xml:space="preserve"> Furnizorii de servicii poștale, astfel cum sunt definiți la art.2 pct.2 din Ordonanța de urgență a Guvernului nr.13/2013 privind serviciile poștale, cu modificările și completările ulterioare, au obligația declarării acestei taxe până la data de 25 a lunii următoare celei în care a fost predat coletul destinatarului.</w:t>
      </w:r>
    </w:p>
    <w:p>
      <w:pPr>
        <w:suppressAutoHyphens/>
        <w:spacing w:before="240" w:line="240" w:lineRule="auto"/>
        <w:jc w:val="both"/>
        <w:rPr>
          <w:rFonts w:hint="default" w:ascii="Trebuchet MS" w:hAnsi="Trebuchet MS" w:cs="Trebuchet MS"/>
          <w:sz w:val="24"/>
          <w:szCs w:val="24"/>
          <w:lang w:val="ro-RO"/>
        </w:rPr>
      </w:pPr>
      <w:r>
        <w:rPr>
          <w:rFonts w:hint="default" w:ascii="Trebuchet MS" w:hAnsi="Trebuchet MS" w:cs="Trebuchet MS"/>
          <w:sz w:val="24"/>
          <w:szCs w:val="24"/>
          <w:lang w:val="ro-RO"/>
        </w:rPr>
        <w:t>De asemenea, prin art.I pct.8 din Ordonanța de urgență a Guvernului nr.</w:t>
      </w:r>
      <w:r>
        <w:rPr>
          <w:rFonts w:hint="default" w:ascii="Trebuchet MS" w:hAnsi="Trebuchet MS" w:cs="Trebuchet MS"/>
          <w:sz w:val="24"/>
          <w:szCs w:val="24"/>
          <w:lang w:val="en-US"/>
        </w:rPr>
        <w:t>68</w:t>
      </w:r>
      <w:r>
        <w:rPr>
          <w:rFonts w:hint="default" w:ascii="Trebuchet MS" w:hAnsi="Trebuchet MS" w:cs="Trebuchet MS"/>
          <w:sz w:val="24"/>
          <w:szCs w:val="24"/>
          <w:lang w:val="ro-RO"/>
        </w:rPr>
        <w:t xml:space="preserve">/2025 pentru modificarea și completarea titlului VIII „Accize și alte taxe speciale” din Legea nr.227/2015 privind </w:t>
      </w:r>
      <w:r>
        <w:rPr>
          <w:rFonts w:ascii="Trebuchet MS" w:hAnsi="Trebuchet MS" w:cs="Trebuchet MS"/>
          <w:sz w:val="24"/>
          <w:szCs w:val="24"/>
          <w:lang w:val="ro-RO"/>
        </w:rPr>
        <w:t>Codul fiscal</w:t>
      </w:r>
      <w:r>
        <w:rPr>
          <w:rFonts w:hint="default" w:ascii="Trebuchet MS" w:hAnsi="Trebuchet MS" w:cs="Trebuchet MS"/>
          <w:sz w:val="24"/>
          <w:szCs w:val="24"/>
          <w:lang w:val="en-US"/>
        </w:rPr>
        <w:t xml:space="preserve"> </w:t>
      </w:r>
      <w:r>
        <w:rPr>
          <w:rFonts w:hint="default" w:ascii="Trebuchet MS" w:hAnsi="Trebuchet MS" w:cs="Trebuchet MS"/>
          <w:sz w:val="24"/>
          <w:szCs w:val="24"/>
          <w:lang w:val="ro-RO"/>
        </w:rPr>
        <w:t>și alte măsuri fiscale, s-au introdus, în categoria produselor accizabile, tutunurile pentru mestecat și tutunuri pentru uz nazal. Dispozițiile menționate intră în vigoare începând cu data de 15 decembrie 2025.</w:t>
      </w:r>
    </w:p>
    <w:p>
      <w:pPr>
        <w:suppressAutoHyphens/>
        <w:spacing w:before="240" w:after="0" w:line="240" w:lineRule="auto"/>
        <w:jc w:val="both"/>
        <w:rPr>
          <w:rFonts w:hint="default" w:ascii="Trebuchet MS" w:hAnsi="Trebuchet MS" w:cs="Trebuchet MS"/>
          <w:sz w:val="24"/>
          <w:szCs w:val="24"/>
          <w:lang w:val="ro-RO"/>
        </w:rPr>
      </w:pPr>
      <w:r>
        <w:rPr>
          <w:rFonts w:hint="default" w:ascii="Trebuchet MS" w:hAnsi="Trebuchet MS" w:cs="Trebuchet MS"/>
          <w:sz w:val="24"/>
          <w:szCs w:val="24"/>
          <w:lang w:val="ro-RO"/>
        </w:rPr>
        <w:t xml:space="preserve">Articolul </w:t>
      </w:r>
      <w:r>
        <w:rPr>
          <w:rFonts w:ascii="Trebuchet MS" w:hAnsi="Trebuchet MS" w:cs="Trebuchet MS"/>
          <w:sz w:val="24"/>
          <w:szCs w:val="24"/>
          <w:lang w:val="ro-RO"/>
        </w:rPr>
        <w:t>46</w:t>
      </w:r>
      <w:r>
        <w:rPr>
          <w:rFonts w:ascii="Trebuchet MS" w:hAnsi="Trebuchet MS" w:cs="Trebuchet MS"/>
          <w:sz w:val="24"/>
          <w:szCs w:val="24"/>
          <w:vertAlign w:val="superscript"/>
          <w:lang w:val="ro-RO"/>
        </w:rPr>
        <w:t>1</w:t>
      </w:r>
      <w:r>
        <w:rPr>
          <w:rFonts w:hint="default" w:ascii="Trebuchet MS" w:hAnsi="Trebuchet MS" w:cs="Trebuchet MS"/>
          <w:sz w:val="24"/>
          <w:szCs w:val="24"/>
          <w:vertAlign w:val="superscript"/>
          <w:lang w:val="ro-RO"/>
        </w:rPr>
        <w:t xml:space="preserve"> </w:t>
      </w:r>
      <w:r>
        <w:rPr>
          <w:rFonts w:hint="default" w:ascii="Trebuchet MS" w:hAnsi="Trebuchet MS" w:eastAsia="+Body" w:cs="Trebuchet MS"/>
          <w:sz w:val="24"/>
          <w:szCs w:val="24"/>
          <w:lang w:val="ro-RO"/>
        </w:rPr>
        <w:t xml:space="preserve">din Codul fiscal reglementează impozitul suplimentar pentru instituţiile de credit - persoane juridice române şi sucursalele din România ale instituţiilor de credit - persoane juridice străine. De la data intrării în vigoare, acest impozit a fost cuprins în formularul </w:t>
      </w:r>
      <w:r>
        <w:rPr>
          <w:rFonts w:hint="default" w:ascii="Trebuchet MS" w:hAnsi="Trebuchet MS" w:cs="Trebuchet MS"/>
          <w:sz w:val="24"/>
          <w:szCs w:val="24"/>
          <w:lang w:val="ro-RO"/>
        </w:rPr>
        <w:t xml:space="preserve">100 „Declarație privind </w:t>
      </w:r>
      <w:r>
        <w:rPr>
          <w:rFonts w:ascii="Trebuchet MS" w:hAnsi="Trebuchet MS" w:cs="Trebuchet MS"/>
          <w:sz w:val="24"/>
          <w:szCs w:val="24"/>
          <w:lang w:val="ro-RO"/>
        </w:rPr>
        <w:t>obligațiil</w:t>
      </w:r>
      <w:r>
        <w:rPr>
          <w:rFonts w:hint="default" w:ascii="Trebuchet MS" w:hAnsi="Trebuchet MS" w:cs="Trebuchet MS"/>
          <w:sz w:val="24"/>
          <w:szCs w:val="24"/>
          <w:lang w:val="ro-RO"/>
        </w:rPr>
        <w:t>e</w:t>
      </w:r>
      <w:r>
        <w:rPr>
          <w:rFonts w:ascii="Trebuchet MS" w:hAnsi="Trebuchet MS" w:cs="Trebuchet MS"/>
          <w:sz w:val="24"/>
          <w:szCs w:val="24"/>
          <w:lang w:val="ro-RO"/>
        </w:rPr>
        <w:t xml:space="preserve"> de plată la bugetul de stat”</w:t>
      </w:r>
      <w:r>
        <w:rPr>
          <w:rFonts w:hint="default" w:ascii="Trebuchet MS" w:hAnsi="Trebuchet MS" w:cs="Trebuchet MS"/>
          <w:sz w:val="24"/>
          <w:szCs w:val="24"/>
          <w:lang w:val="ro-RO"/>
        </w:rPr>
        <w:t>, contribuabilii având obligația declarării impozitului datorat.</w:t>
      </w:r>
    </w:p>
    <w:p>
      <w:pPr>
        <w:suppressAutoHyphens/>
        <w:spacing w:before="240" w:after="0" w:line="240" w:lineRule="auto"/>
        <w:jc w:val="both"/>
        <w:rPr>
          <w:rFonts w:hint="default" w:ascii="Trebuchet MS" w:hAnsi="Trebuchet MS" w:cs="Trebuchet MS"/>
          <w:sz w:val="24"/>
          <w:szCs w:val="24"/>
          <w:lang w:val="ro-RO"/>
        </w:rPr>
      </w:pPr>
      <w:r>
        <w:rPr>
          <w:rFonts w:hint="default" w:ascii="Trebuchet MS" w:hAnsi="Trebuchet MS" w:cs="Trebuchet MS"/>
          <w:sz w:val="24"/>
          <w:szCs w:val="24"/>
          <w:lang w:val="ro-RO"/>
        </w:rPr>
        <w:t>Ca urmare a solicitări</w:t>
      </w:r>
      <w:r>
        <w:rPr>
          <w:rFonts w:hint="default" w:ascii="Trebuchet MS" w:hAnsi="Trebuchet MS" w:cs="Trebuchet MS"/>
          <w:sz w:val="24"/>
          <w:szCs w:val="24"/>
          <w:lang w:val="en-US"/>
        </w:rPr>
        <w:t xml:space="preserve">i </w:t>
      </w:r>
      <w:r>
        <w:rPr>
          <w:rFonts w:hint="default" w:ascii="Trebuchet MS" w:hAnsi="Trebuchet MS" w:cs="Trebuchet MS"/>
          <w:sz w:val="24"/>
          <w:szCs w:val="24"/>
          <w:lang w:val="ro-RO"/>
        </w:rPr>
        <w:t xml:space="preserve">SALT BANK S.A., </w:t>
      </w:r>
      <w:r>
        <w:rPr>
          <w:rFonts w:hint="default" w:ascii="Trebuchet MS" w:hAnsi="Trebuchet MS" w:cs="Arial"/>
          <w:b w:val="0"/>
          <w:bCs w:val="0"/>
          <w:color w:val="000000"/>
          <w:kern w:val="0"/>
          <w:sz w:val="24"/>
          <w:szCs w:val="24"/>
          <w:lang w:val="ro-RO" w:eastAsia="en-US"/>
        </w:rPr>
        <w:t xml:space="preserve">Direcția Generală de Legislație Fiscală și Reglementări Vamale și Contabile din cadrul Ministerului Finanțelor a transmis un punct de vedere potrivit căruia este necesară modificarea mecanismului de declarare a impozitului specific pe cifra de afaceri datorat de instituțiile de credit, prevăzut la </w:t>
      </w:r>
      <w:r>
        <w:rPr>
          <w:rFonts w:ascii="Trebuchet MS" w:hAnsi="Trebuchet MS" w:cs="Trebuchet MS"/>
          <w:sz w:val="24"/>
          <w:szCs w:val="24"/>
          <w:lang w:val="ro-RO"/>
        </w:rPr>
        <w:t>art.46</w:t>
      </w:r>
      <w:r>
        <w:rPr>
          <w:rFonts w:ascii="Trebuchet MS" w:hAnsi="Trebuchet MS" w:cs="Trebuchet MS"/>
          <w:sz w:val="24"/>
          <w:szCs w:val="24"/>
          <w:vertAlign w:val="superscript"/>
          <w:lang w:val="ro-RO"/>
        </w:rPr>
        <w:t>1</w:t>
      </w:r>
      <w:r>
        <w:rPr>
          <w:rFonts w:hint="default" w:ascii="Trebuchet MS" w:hAnsi="Trebuchet MS" w:cs="Arial"/>
          <w:b w:val="0"/>
          <w:bCs w:val="0"/>
          <w:color w:val="000000"/>
          <w:kern w:val="0"/>
          <w:sz w:val="24"/>
          <w:szCs w:val="24"/>
          <w:lang w:val="ro-RO" w:eastAsia="en-US"/>
        </w:rPr>
        <w:t xml:space="preserve"> din Codul fiscal, în formularul 100 „Declarație privind obligațiile de plată la bugetul de stat”, întrucât pot exista </w:t>
      </w:r>
      <w:r>
        <w:rPr>
          <w:rFonts w:hint="default" w:ascii="Trebuchet MS" w:hAnsi="Trebuchet MS" w:cs="Trebuchet MS"/>
          <w:sz w:val="24"/>
          <w:szCs w:val="24"/>
          <w:lang w:val="ro-RO"/>
        </w:rPr>
        <w:t xml:space="preserve">situații în care impozitul suplimentar pe cifra de afaceri trimestrial are o valoare negativă. </w:t>
      </w:r>
    </w:p>
    <w:p>
      <w:pPr>
        <w:suppressAutoHyphens/>
        <w:spacing w:before="240" w:after="0" w:line="240" w:lineRule="auto"/>
        <w:jc w:val="both"/>
        <w:rPr>
          <w:rFonts w:hint="default" w:ascii="Trebuchet MS" w:hAnsi="Trebuchet MS" w:eastAsia="+Body" w:cs="Trebuchet MS"/>
          <w:sz w:val="24"/>
          <w:szCs w:val="24"/>
          <w:vertAlign w:val="baseline"/>
          <w:lang w:val="ro-RO"/>
        </w:rPr>
      </w:pPr>
      <w:r>
        <w:rPr>
          <w:rFonts w:hint="default" w:ascii="Trebuchet MS" w:hAnsi="Trebuchet MS" w:cs="Trebuchet MS"/>
          <w:sz w:val="24"/>
          <w:szCs w:val="24"/>
          <w:lang w:val="ro-RO"/>
        </w:rPr>
        <w:t xml:space="preserve">Având în vedere că, acest mecanism de stabilire este aplicabil și în cazul impozitului </w:t>
      </w:r>
      <w:r>
        <w:rPr>
          <w:rFonts w:hint="default" w:ascii="Trebuchet MS" w:hAnsi="Trebuchet MS" w:eastAsia="+Body" w:cs="Trebuchet MS"/>
          <w:sz w:val="24"/>
          <w:szCs w:val="24"/>
          <w:vertAlign w:val="baseline"/>
          <w:lang w:val="ro-RO"/>
        </w:rPr>
        <w:t xml:space="preserve"> suplimentar pentru persoanele juridice care desfăşoară activităţi în sectoarele petrol şi gaze naturale, </w:t>
      </w:r>
      <w:r>
        <w:rPr>
          <w:rFonts w:hint="default" w:ascii="Trebuchet MS" w:hAnsi="Trebuchet MS" w:cs="Arial"/>
          <w:b w:val="0"/>
          <w:bCs w:val="0"/>
          <w:color w:val="000000"/>
          <w:kern w:val="0"/>
          <w:sz w:val="24"/>
          <w:szCs w:val="24"/>
          <w:lang w:val="ro-RO" w:eastAsia="en-US"/>
        </w:rPr>
        <w:t xml:space="preserve">reglementat de </w:t>
      </w:r>
      <w:r>
        <w:rPr>
          <w:rFonts w:ascii="Trebuchet MS" w:hAnsi="Trebuchet MS" w:cs="Trebuchet MS"/>
          <w:sz w:val="24"/>
          <w:szCs w:val="24"/>
          <w:lang w:val="ro-RO"/>
        </w:rPr>
        <w:t>art.46</w:t>
      </w:r>
      <w:r>
        <w:rPr>
          <w:rFonts w:ascii="Trebuchet MS" w:hAnsi="Trebuchet MS" w:cs="Trebuchet MS"/>
          <w:sz w:val="24"/>
          <w:szCs w:val="24"/>
          <w:vertAlign w:val="superscript"/>
          <w:lang w:val="ro-RO"/>
        </w:rPr>
        <w:t>2</w:t>
      </w:r>
      <w:r>
        <w:rPr>
          <w:rFonts w:hint="default" w:ascii="Trebuchet MS" w:hAnsi="Trebuchet MS" w:cs="Trebuchet MS"/>
          <w:sz w:val="24"/>
          <w:szCs w:val="24"/>
          <w:vertAlign w:val="superscript"/>
          <w:lang w:val="ro-RO"/>
        </w:rPr>
        <w:t xml:space="preserve"> </w:t>
      </w:r>
      <w:r>
        <w:rPr>
          <w:rFonts w:hint="default" w:ascii="Trebuchet MS" w:hAnsi="Trebuchet MS" w:eastAsia="+Body" w:cs="Trebuchet MS"/>
          <w:sz w:val="24"/>
          <w:szCs w:val="24"/>
          <w:vertAlign w:val="baseline"/>
          <w:lang w:val="ro-RO"/>
        </w:rPr>
        <w:t>din Codul fiscal,</w:t>
      </w:r>
      <w:r>
        <w:rPr>
          <w:rFonts w:hint="default" w:ascii="Trebuchet MS" w:hAnsi="Trebuchet MS" w:eastAsia="+Body" w:cs="Trebuchet MS"/>
          <w:sz w:val="24"/>
          <w:szCs w:val="24"/>
          <w:vertAlign w:val="baseline"/>
          <w:lang w:val="en-US"/>
        </w:rPr>
        <w:t xml:space="preserve"> </w:t>
      </w:r>
      <w:r>
        <w:rPr>
          <w:rFonts w:hint="default" w:ascii="Trebuchet MS" w:hAnsi="Trebuchet MS" w:eastAsia="+Body" w:cs="Trebuchet MS"/>
          <w:sz w:val="24"/>
          <w:szCs w:val="24"/>
          <w:vertAlign w:val="baseline"/>
          <w:lang w:val="ro-RO"/>
        </w:rPr>
        <w:t>modificarea mecanismului de declarare este necesară și pentru acest impozit.</w:t>
      </w:r>
    </w:p>
    <w:p>
      <w:pPr>
        <w:suppressAutoHyphens/>
        <w:spacing w:before="240" w:after="0" w:line="240" w:lineRule="auto"/>
        <w:jc w:val="both"/>
        <w:rPr>
          <w:rFonts w:ascii="Trebuchet MS" w:hAnsi="Trebuchet MS" w:cs="Trebuchet MS"/>
          <w:sz w:val="24"/>
          <w:szCs w:val="24"/>
          <w:lang w:val="ro-RO"/>
        </w:rPr>
      </w:pPr>
      <w:r>
        <w:rPr>
          <w:rFonts w:ascii="Trebuchet MS" w:hAnsi="Trebuchet MS" w:cs="Trebuchet MS"/>
          <w:sz w:val="24"/>
          <w:szCs w:val="24"/>
        </w:rPr>
        <w:t>Av</w:t>
      </w:r>
      <w:r>
        <w:rPr>
          <w:rFonts w:ascii="Trebuchet MS" w:hAnsi="Trebuchet MS" w:cs="Trebuchet MS"/>
          <w:sz w:val="24"/>
          <w:szCs w:val="24"/>
          <w:lang w:val="ro-RO"/>
        </w:rPr>
        <w:t xml:space="preserve">ând în vedere </w:t>
      </w:r>
      <w:r>
        <w:rPr>
          <w:rFonts w:hint="default" w:ascii="Trebuchet MS" w:hAnsi="Trebuchet MS" w:cs="Trebuchet MS"/>
          <w:sz w:val="24"/>
          <w:szCs w:val="24"/>
          <w:lang w:val="ro-RO"/>
        </w:rPr>
        <w:t xml:space="preserve">cele de </w:t>
      </w:r>
      <w:r>
        <w:rPr>
          <w:rFonts w:ascii="Trebuchet MS" w:hAnsi="Trebuchet MS" w:cs="Trebuchet MS"/>
          <w:sz w:val="24"/>
          <w:szCs w:val="24"/>
          <w:lang w:val="ro-RO"/>
        </w:rPr>
        <w:t xml:space="preserve">mai sus, </w:t>
      </w:r>
      <w:r>
        <w:rPr>
          <w:rFonts w:ascii="Trebuchet MS" w:hAnsi="Trebuchet MS" w:cs="Trebuchet MS"/>
          <w:sz w:val="24"/>
          <w:szCs w:val="24"/>
        </w:rPr>
        <w:t>prin prezentul proiect de ordin</w:t>
      </w:r>
      <w:r>
        <w:rPr>
          <w:rFonts w:hint="default" w:ascii="Trebuchet MS" w:hAnsi="Trebuchet MS" w:cs="Trebuchet MS"/>
          <w:sz w:val="24"/>
          <w:szCs w:val="24"/>
          <w:lang w:val="ro-RO"/>
        </w:rPr>
        <w:t xml:space="preserve"> </w:t>
      </w:r>
      <w:r>
        <w:rPr>
          <w:rFonts w:ascii="Trebuchet MS" w:hAnsi="Trebuchet MS" w:cs="Trebuchet MS"/>
          <w:sz w:val="24"/>
          <w:szCs w:val="24"/>
          <w:lang w:val="ro-RO"/>
        </w:rPr>
        <w:t>se</w:t>
      </w:r>
      <w:r>
        <w:rPr>
          <w:rFonts w:hint="default" w:ascii="Trebuchet MS" w:hAnsi="Trebuchet MS" w:cs="Trebuchet MS"/>
          <w:sz w:val="24"/>
          <w:szCs w:val="24"/>
          <w:lang w:val="ro-RO"/>
        </w:rPr>
        <w:t xml:space="preserve"> </w:t>
      </w:r>
      <w:r>
        <w:rPr>
          <w:rFonts w:ascii="Trebuchet MS" w:hAnsi="Trebuchet MS" w:cs="Trebuchet MS"/>
          <w:sz w:val="24"/>
          <w:szCs w:val="24"/>
          <w:lang w:val="ro-RO"/>
        </w:rPr>
        <w:t>propune modificarea și completarea Ordinul</w:t>
      </w:r>
      <w:r>
        <w:rPr>
          <w:rFonts w:ascii="Trebuchet MS" w:hAnsi="Trebuchet MS" w:cs="Trebuchet MS"/>
          <w:sz w:val="24"/>
          <w:szCs w:val="24"/>
        </w:rPr>
        <w:t>ui</w:t>
      </w:r>
      <w:r>
        <w:rPr>
          <w:rFonts w:ascii="Trebuchet MS" w:hAnsi="Trebuchet MS" w:cs="Trebuchet MS"/>
          <w:sz w:val="24"/>
          <w:szCs w:val="24"/>
          <w:lang w:val="ro-RO"/>
        </w:rPr>
        <w:t xml:space="preserve"> preşedintelui Agenţiei Naţionale de Administrare Fiscală nr.587/2016, după cum urmează:</w:t>
      </w:r>
    </w:p>
    <w:p>
      <w:pPr>
        <w:numPr>
          <w:ilvl w:val="0"/>
          <w:numId w:val="1"/>
        </w:numPr>
        <w:suppressAutoHyphens/>
        <w:spacing w:before="240" w:after="0" w:line="240" w:lineRule="auto"/>
        <w:ind w:left="0" w:leftChars="0" w:firstLine="0" w:firstLineChars="0"/>
        <w:jc w:val="both"/>
        <w:rPr>
          <w:rFonts w:ascii="Trebuchet MS" w:hAnsi="Trebuchet MS" w:cs="Trebuchet MS"/>
          <w:sz w:val="24"/>
          <w:szCs w:val="24"/>
          <w:lang w:val="ro-RO"/>
        </w:rPr>
      </w:pPr>
      <w:r>
        <w:rPr>
          <w:rFonts w:hint="default" w:ascii="Trebuchet MS" w:hAnsi="Trebuchet MS" w:cs="Trebuchet MS"/>
          <w:sz w:val="24"/>
          <w:szCs w:val="24"/>
          <w:lang w:val="ro-RO"/>
        </w:rPr>
        <w:t>completarea Nomenclatorului obligaţiilor de plată la bugetul de stat, prevăzut în anexa nr.3 la ordin, prin introducerea a două noi poziții, poziția 113 „Taxă logistică pentru gestionarea fluxurilor de bunuri extracomunitare” și poziția 114 „Accize pentru tutunuri pentru mestecat și tutunuri pentru uz nazal”;</w:t>
      </w:r>
    </w:p>
    <w:p>
      <w:pPr>
        <w:numPr>
          <w:ilvl w:val="0"/>
          <w:numId w:val="1"/>
        </w:numPr>
        <w:suppressAutoHyphens/>
        <w:spacing w:before="240" w:line="240" w:lineRule="auto"/>
        <w:jc w:val="both"/>
        <w:rPr>
          <w:rFonts w:ascii="Trebuchet MS" w:hAnsi="Trebuchet MS" w:cs="Trebuchet MS"/>
          <w:sz w:val="24"/>
          <w:szCs w:val="24"/>
          <w:lang w:val="ro-RO"/>
        </w:rPr>
      </w:pPr>
      <w:r>
        <w:rPr>
          <w:rFonts w:hint="default" w:ascii="Trebuchet MS" w:hAnsi="Trebuchet MS" w:cs="Trebuchet MS"/>
          <w:sz w:val="24"/>
          <w:szCs w:val="24"/>
          <w:lang w:val="ro-RO"/>
        </w:rPr>
        <w:t>modificarea</w:t>
      </w:r>
      <w:r>
        <w:rPr>
          <w:rFonts w:ascii="Trebuchet MS" w:hAnsi="Trebuchet MS" w:cs="Trebuchet MS"/>
          <w:sz w:val="24"/>
          <w:szCs w:val="24"/>
          <w:lang w:val="ro-RO"/>
        </w:rPr>
        <w:t xml:space="preserve"> </w:t>
      </w:r>
      <w:r>
        <w:rPr>
          <w:rFonts w:hint="default" w:ascii="Trebuchet MS" w:hAnsi="Trebuchet MS" w:cs="Trebuchet MS"/>
          <w:sz w:val="24"/>
          <w:szCs w:val="24"/>
          <w:lang w:val="ro-RO"/>
        </w:rPr>
        <w:t xml:space="preserve">modelului și conținutului formularului 100 „Declarație privind </w:t>
      </w:r>
      <w:r>
        <w:rPr>
          <w:rFonts w:ascii="Trebuchet MS" w:hAnsi="Trebuchet MS" w:cs="Trebuchet MS"/>
          <w:sz w:val="24"/>
          <w:szCs w:val="24"/>
          <w:lang w:val="ro-RO"/>
        </w:rPr>
        <w:t>obligațiil</w:t>
      </w:r>
      <w:r>
        <w:rPr>
          <w:rFonts w:hint="default" w:ascii="Trebuchet MS" w:hAnsi="Trebuchet MS" w:cs="Trebuchet MS"/>
          <w:sz w:val="24"/>
          <w:szCs w:val="24"/>
          <w:lang w:val="ro-RO"/>
        </w:rPr>
        <w:t>e</w:t>
      </w:r>
      <w:r>
        <w:rPr>
          <w:rFonts w:ascii="Trebuchet MS" w:hAnsi="Trebuchet MS" w:cs="Trebuchet MS"/>
          <w:sz w:val="24"/>
          <w:szCs w:val="24"/>
          <w:lang w:val="ro-RO"/>
        </w:rPr>
        <w:t xml:space="preserve"> de plată la bugetul de stat”</w:t>
      </w:r>
      <w:r>
        <w:rPr>
          <w:rFonts w:hint="default" w:ascii="Trebuchet MS" w:hAnsi="Trebuchet MS" w:cs="Trebuchet MS"/>
          <w:sz w:val="24"/>
          <w:szCs w:val="24"/>
          <w:lang w:val="ro-RO"/>
        </w:rPr>
        <w:t xml:space="preserve">, </w:t>
      </w:r>
      <w:r>
        <w:rPr>
          <w:rFonts w:ascii="Trebuchet MS" w:hAnsi="Trebuchet MS" w:cs="Trebuchet MS"/>
          <w:sz w:val="24"/>
          <w:szCs w:val="24"/>
          <w:lang w:val="ro-RO"/>
        </w:rPr>
        <w:t xml:space="preserve">în vederea </w:t>
      </w:r>
      <w:r>
        <w:rPr>
          <w:rFonts w:hint="default" w:ascii="Trebuchet MS" w:hAnsi="Trebuchet MS" w:cs="Trebuchet MS"/>
          <w:sz w:val="24"/>
          <w:szCs w:val="24"/>
          <w:lang w:val="ro-RO"/>
        </w:rPr>
        <w:t>evidențierii diferenței între impozitul pe cifra de afaceri calculat cumulat de la începutul anului fiscal şi impozitul pe cifra de afaceri datorat pentru perioada anterioară celei de calcul, diferență care poate fi atât pozitivă cât și negativă;</w:t>
      </w:r>
    </w:p>
    <w:p>
      <w:pPr>
        <w:numPr>
          <w:ilvl w:val="0"/>
          <w:numId w:val="1"/>
        </w:numPr>
        <w:suppressAutoHyphens/>
        <w:spacing w:before="240" w:after="0" w:line="240" w:lineRule="auto"/>
        <w:ind w:left="0" w:leftChars="0" w:firstLine="0" w:firstLineChars="0"/>
        <w:jc w:val="both"/>
        <w:rPr>
          <w:rFonts w:ascii="Trebuchet MS" w:hAnsi="Trebuchet MS" w:cs="Trebuchet MS"/>
          <w:sz w:val="24"/>
          <w:szCs w:val="24"/>
          <w:lang w:val="ro-RO"/>
        </w:rPr>
      </w:pPr>
      <w:r>
        <w:rPr>
          <w:rFonts w:ascii="Trebuchet MS" w:hAnsi="Trebuchet MS" w:cs="Trebuchet MS"/>
          <w:sz w:val="24"/>
          <w:szCs w:val="24"/>
          <w:lang w:val="ro-RO"/>
        </w:rPr>
        <w:t>modificarea corespunzătoare a instrucțiunilor de completare a formularului 100.</w:t>
      </w:r>
    </w:p>
    <w:p>
      <w:pPr>
        <w:suppressAutoHyphens/>
        <w:jc w:val="both"/>
        <w:rPr>
          <w:rFonts w:ascii="Trebuchet MS" w:hAnsi="Trebuchet MS"/>
          <w:sz w:val="24"/>
          <w:szCs w:val="24"/>
          <w:lang w:val="ro-RO"/>
        </w:rPr>
      </w:pPr>
      <w:bookmarkStart w:id="0" w:name="_GoBack"/>
      <w:bookmarkEnd w:id="0"/>
    </w:p>
    <w:sectPr>
      <w:headerReference r:id="rId5" w:type="default"/>
      <w:footerReference r:id="rId6" w:type="default"/>
      <w:pgSz w:w="11906" w:h="16838"/>
      <w:pgMar w:top="611" w:right="836" w:bottom="1152" w:left="1890" w:header="0" w:footer="480" w:gutter="0"/>
      <w:pgNumType w:start="1"/>
      <w:cols w:space="720"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Liberation Sans">
    <w:panose1 w:val="020B0604020202020204"/>
    <w:charset w:val="00"/>
    <w:family w:val="swiss"/>
    <w:pitch w:val="default"/>
    <w:sig w:usb0="E0000AFF" w:usb1="500078FF" w:usb2="00000021" w:usb3="00000000" w:csb0="600001BF" w:csb1="DFF70000"/>
  </w:font>
  <w:font w:name="Microsoft YaHei">
    <w:panose1 w:val="020B0503020204020204"/>
    <w:charset w:val="86"/>
    <w:family w:val="swiss"/>
    <w:pitch w:val="default"/>
    <w:sig w:usb0="80000287" w:usb1="2ACF3C50" w:usb2="00000016" w:usb3="00000000" w:csb0="0004001F" w:csb1="00000000"/>
  </w:font>
  <w:font w:name="Trajan Pro">
    <w:panose1 w:val="02020502050506020301"/>
    <w:charset w:val="00"/>
    <w:family w:val="roman"/>
    <w:pitch w:val="default"/>
    <w:sig w:usb0="800000AF" w:usb1="5000204B" w:usb2="00000000" w:usb3="00000000" w:csb0="0000009B" w:csb1="00000000"/>
  </w:font>
  <w:font w:name="Trebuchet MS">
    <w:panose1 w:val="020B0603020202020204"/>
    <w:charset w:val="00"/>
    <w:family w:val="swiss"/>
    <w:pitch w:val="default"/>
    <w:sig w:usb0="00000687" w:usb1="00000000" w:usb2="00000000" w:usb3="00000000" w:csb0="2000009F" w:csb1="00000000"/>
  </w:font>
  <w:font w:name="Times New Roman CE">
    <w:altName w:val="Times New Roman"/>
    <w:panose1 w:val="02020603050405020304"/>
    <w:charset w:val="EE"/>
    <w:family w:val="auto"/>
    <w:pitch w:val="default"/>
    <w:sig w:usb0="00000000" w:usb1="00000000" w:usb2="00000000" w:usb3="00000000" w:csb0="00000002" w:csb1="00000000"/>
  </w:font>
  <w:font w:name="Franklin Gothic Demi">
    <w:panose1 w:val="020B0703020102020204"/>
    <w:charset w:val="00"/>
    <w:family w:val="swiss"/>
    <w:pitch w:val="default"/>
    <w:sig w:usb0="00000287" w:usb1="00000000" w:usb2="00000000" w:usb3="00000000" w:csb0="2000009F" w:csb1="DFD70000"/>
  </w:font>
  <w:font w:name="+Body">
    <w:altName w:val="Liberation Mono"/>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922496"/>
    </w:sdtPr>
    <w:sdtContent>
      <w:p>
        <w:pPr>
          <w:pStyle w:val="7"/>
        </w:pPr>
      </w:p>
      <w:p>
        <w:pPr>
          <w:pStyle w:val="7"/>
          <w:rPr>
            <w:rFonts w:ascii="Trebuchet MS" w:hAnsi="Trebuchet MS"/>
          </w:rPr>
        </w:pPr>
        <w:r>
          <w:rPr>
            <w:rFonts w:ascii="Trebuchet MS" w:hAnsi="Trebuchet MS" w:eastAsia="Franklin Gothic Demi" w:cs="Arial"/>
            <w:b/>
            <w:bCs/>
            <w:color w:val="000000"/>
            <w:sz w:val="18"/>
            <w:szCs w:val="18"/>
            <w:lang w:val="ro-RO"/>
          </w:rPr>
          <w:t>Document care conține date cu caracter personal protejate de prevederile Regulamentului (UE) 2016/679</w:t>
        </w:r>
      </w:p>
      <w:p>
        <w:pPr>
          <w:pStyle w:val="7"/>
          <w:jc w:val="center"/>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right"/>
                                <w:rPr>
                                  <w:lang w:val="ro-RO"/>
                                </w:rPr>
                              </w:pPr>
                              <w:r>
                                <w:t>Page</w:t>
                              </w:r>
                              <w:r>
                                <w:rPr>
                                  <w:lang w:val="ro-RO"/>
                                </w:rPr>
                                <w:t xml:space="preserve"> </w:t>
                              </w:r>
                              <w:r>
                                <w:rPr>
                                  <w:bCs/>
                                  <w:sz w:val="24"/>
                                  <w:szCs w:val="24"/>
                                </w:rPr>
                                <w:fldChar w:fldCharType="begin"/>
                              </w:r>
                              <w:r>
                                <w:rPr>
                                  <w:bCs/>
                                  <w:sz w:val="24"/>
                                  <w:szCs w:val="24"/>
                                </w:rPr>
                                <w:instrText xml:space="preserve">PAGE</w:instrText>
                              </w:r>
                              <w:r>
                                <w:rPr>
                                  <w:bCs/>
                                  <w:sz w:val="24"/>
                                  <w:szCs w:val="24"/>
                                </w:rPr>
                                <w:fldChar w:fldCharType="separate"/>
                              </w:r>
                              <w:r>
                                <w:rPr>
                                  <w:bCs/>
                                  <w:sz w:val="24"/>
                                  <w:szCs w:val="24"/>
                                </w:rPr>
                                <w:t>3</w:t>
                              </w:r>
                              <w:r>
                                <w:rPr>
                                  <w:bCs/>
                                  <w:sz w:val="24"/>
                                  <w:szCs w:val="24"/>
                                </w:rPr>
                                <w:fldChar w:fldCharType="end"/>
                              </w:r>
                              <w:r>
                                <w:rPr>
                                  <w:bCs/>
                                  <w:sz w:val="24"/>
                                  <w:szCs w:val="24"/>
                                </w:rPr>
                                <w:t>/</w:t>
                              </w:r>
                              <w:r>
                                <w:rPr>
                                  <w:bCs/>
                                  <w:sz w:val="24"/>
                                  <w:szCs w:val="24"/>
                                  <w:lang w:val="ro-RO"/>
                                </w:rPr>
                                <w:t>2</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IiuUhIbAgAAVAQAAA4A&#10;AAAAAAAAAQAgAAAAHwEAAGRycy9lMm9Eb2MueG1sUEsFBgAAAAAGAAYAWQEAAKwFAAAAAA==&#10;">
                  <v:fill on="f" focussize="0,0"/>
                  <v:stroke on="f" weight="0.5pt"/>
                  <v:imagedata o:title=""/>
                  <o:lock v:ext="edit" aspectratio="f"/>
                  <v:textbox inset="0mm,0mm,0mm,0mm" style="mso-fit-shape-to-text:t;">
                    <w:txbxContent>
                      <w:p>
                        <w:pPr>
                          <w:pStyle w:val="7"/>
                          <w:jc w:val="right"/>
                          <w:rPr>
                            <w:lang w:val="ro-RO"/>
                          </w:rPr>
                        </w:pPr>
                        <w:r>
                          <w:t>Page</w:t>
                        </w:r>
                        <w:r>
                          <w:rPr>
                            <w:lang w:val="ro-RO"/>
                          </w:rPr>
                          <w:t xml:space="preserve"> </w:t>
                        </w:r>
                        <w:r>
                          <w:rPr>
                            <w:bCs/>
                            <w:sz w:val="24"/>
                            <w:szCs w:val="24"/>
                          </w:rPr>
                          <w:fldChar w:fldCharType="begin"/>
                        </w:r>
                        <w:r>
                          <w:rPr>
                            <w:bCs/>
                            <w:sz w:val="24"/>
                            <w:szCs w:val="24"/>
                          </w:rPr>
                          <w:instrText xml:space="preserve">PAGE</w:instrText>
                        </w:r>
                        <w:r>
                          <w:rPr>
                            <w:bCs/>
                            <w:sz w:val="24"/>
                            <w:szCs w:val="24"/>
                          </w:rPr>
                          <w:fldChar w:fldCharType="separate"/>
                        </w:r>
                        <w:r>
                          <w:rPr>
                            <w:bCs/>
                            <w:sz w:val="24"/>
                            <w:szCs w:val="24"/>
                          </w:rPr>
                          <w:t>3</w:t>
                        </w:r>
                        <w:r>
                          <w:rPr>
                            <w:bCs/>
                            <w:sz w:val="24"/>
                            <w:szCs w:val="24"/>
                          </w:rPr>
                          <w:fldChar w:fldCharType="end"/>
                        </w:r>
                        <w:r>
                          <w:rPr>
                            <w:bCs/>
                            <w:sz w:val="24"/>
                            <w:szCs w:val="24"/>
                          </w:rPr>
                          <w:t>/</w:t>
                        </w:r>
                        <w:r>
                          <w:rPr>
                            <w:bCs/>
                            <w:sz w:val="24"/>
                            <w:szCs w:val="24"/>
                            <w:lang w:val="ro-RO"/>
                          </w:rPr>
                          <w:t>2</w:t>
                        </w:r>
                      </w:p>
                    </w:txbxContent>
                  </v:textbox>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27AF23"/>
    <w:multiLevelType w:val="singleLevel"/>
    <w:tmpl w:val="AB27AF23"/>
    <w:lvl w:ilvl="0" w:tentative="0">
      <w:start w:val="1"/>
      <w:numFmt w:val="low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140C3"/>
    <w:rsid w:val="00172A27"/>
    <w:rsid w:val="002B1AC3"/>
    <w:rsid w:val="00651F17"/>
    <w:rsid w:val="00884FA5"/>
    <w:rsid w:val="00B256B8"/>
    <w:rsid w:val="00E823AC"/>
    <w:rsid w:val="010D689D"/>
    <w:rsid w:val="015E1929"/>
    <w:rsid w:val="01903213"/>
    <w:rsid w:val="019A4A79"/>
    <w:rsid w:val="01A71C06"/>
    <w:rsid w:val="01DF40E7"/>
    <w:rsid w:val="03847740"/>
    <w:rsid w:val="03E97E9E"/>
    <w:rsid w:val="04241C81"/>
    <w:rsid w:val="04A63606"/>
    <w:rsid w:val="0619362C"/>
    <w:rsid w:val="0637747B"/>
    <w:rsid w:val="066F1682"/>
    <w:rsid w:val="06961DF8"/>
    <w:rsid w:val="06A85C60"/>
    <w:rsid w:val="07AA40B4"/>
    <w:rsid w:val="07E3589F"/>
    <w:rsid w:val="08A51A8F"/>
    <w:rsid w:val="08CA08ED"/>
    <w:rsid w:val="09065C88"/>
    <w:rsid w:val="092D47B0"/>
    <w:rsid w:val="097D6DEE"/>
    <w:rsid w:val="09F32A10"/>
    <w:rsid w:val="0AE135B3"/>
    <w:rsid w:val="0BB56DA3"/>
    <w:rsid w:val="0BBB4165"/>
    <w:rsid w:val="0C5D5DF4"/>
    <w:rsid w:val="0D2A6A66"/>
    <w:rsid w:val="0D6B0662"/>
    <w:rsid w:val="0D6B69FE"/>
    <w:rsid w:val="0D80308D"/>
    <w:rsid w:val="0E35417C"/>
    <w:rsid w:val="0E4621BF"/>
    <w:rsid w:val="0E5E783B"/>
    <w:rsid w:val="0F147F3A"/>
    <w:rsid w:val="0F6517C5"/>
    <w:rsid w:val="100E1D4F"/>
    <w:rsid w:val="10321DEF"/>
    <w:rsid w:val="11074E10"/>
    <w:rsid w:val="11BC107F"/>
    <w:rsid w:val="11ED1206"/>
    <w:rsid w:val="127706F9"/>
    <w:rsid w:val="127F3D38"/>
    <w:rsid w:val="1288248F"/>
    <w:rsid w:val="13746661"/>
    <w:rsid w:val="13CA7523"/>
    <w:rsid w:val="13D37980"/>
    <w:rsid w:val="13FE15EF"/>
    <w:rsid w:val="14F27C94"/>
    <w:rsid w:val="15B4715C"/>
    <w:rsid w:val="15FE5955"/>
    <w:rsid w:val="16065D3E"/>
    <w:rsid w:val="167032CF"/>
    <w:rsid w:val="16A57CC5"/>
    <w:rsid w:val="17261545"/>
    <w:rsid w:val="17A8793E"/>
    <w:rsid w:val="182F1DA3"/>
    <w:rsid w:val="188E4975"/>
    <w:rsid w:val="18B600EE"/>
    <w:rsid w:val="18F561A4"/>
    <w:rsid w:val="19C33EFC"/>
    <w:rsid w:val="19E53D94"/>
    <w:rsid w:val="1A627B75"/>
    <w:rsid w:val="1A6C15A3"/>
    <w:rsid w:val="1A9628E6"/>
    <w:rsid w:val="1AAA6D22"/>
    <w:rsid w:val="1AC2186C"/>
    <w:rsid w:val="1B862B64"/>
    <w:rsid w:val="1C7602B9"/>
    <w:rsid w:val="1D566B09"/>
    <w:rsid w:val="1DF32AE0"/>
    <w:rsid w:val="1E731CB1"/>
    <w:rsid w:val="1EB43949"/>
    <w:rsid w:val="1EE025BF"/>
    <w:rsid w:val="1F4F17B1"/>
    <w:rsid w:val="1FD42C9E"/>
    <w:rsid w:val="1FE20CAC"/>
    <w:rsid w:val="1FEF1940"/>
    <w:rsid w:val="20A6733F"/>
    <w:rsid w:val="21076A9B"/>
    <w:rsid w:val="2165588D"/>
    <w:rsid w:val="21F0506C"/>
    <w:rsid w:val="2246081C"/>
    <w:rsid w:val="22463E76"/>
    <w:rsid w:val="230F6D54"/>
    <w:rsid w:val="23161D95"/>
    <w:rsid w:val="234D1726"/>
    <w:rsid w:val="238F2F00"/>
    <w:rsid w:val="23D43BB4"/>
    <w:rsid w:val="23D53F7D"/>
    <w:rsid w:val="23D91C40"/>
    <w:rsid w:val="240F7DB2"/>
    <w:rsid w:val="24B42108"/>
    <w:rsid w:val="24CD6D8A"/>
    <w:rsid w:val="25511DAA"/>
    <w:rsid w:val="25570938"/>
    <w:rsid w:val="257537F8"/>
    <w:rsid w:val="25945DA4"/>
    <w:rsid w:val="25CC719C"/>
    <w:rsid w:val="25EA33DB"/>
    <w:rsid w:val="25EE4103"/>
    <w:rsid w:val="264B706C"/>
    <w:rsid w:val="264E4147"/>
    <w:rsid w:val="26AB05CB"/>
    <w:rsid w:val="26D36419"/>
    <w:rsid w:val="271B4883"/>
    <w:rsid w:val="2721571A"/>
    <w:rsid w:val="275C769D"/>
    <w:rsid w:val="277724F8"/>
    <w:rsid w:val="27B331B7"/>
    <w:rsid w:val="27B72239"/>
    <w:rsid w:val="283468B0"/>
    <w:rsid w:val="28A36690"/>
    <w:rsid w:val="28AB3081"/>
    <w:rsid w:val="28C8250F"/>
    <w:rsid w:val="28E30A91"/>
    <w:rsid w:val="2A43397A"/>
    <w:rsid w:val="2A9C30DA"/>
    <w:rsid w:val="2AA40674"/>
    <w:rsid w:val="2AC6509D"/>
    <w:rsid w:val="2B156E10"/>
    <w:rsid w:val="2B8D7B0C"/>
    <w:rsid w:val="2C372166"/>
    <w:rsid w:val="2C6B6E84"/>
    <w:rsid w:val="2C725643"/>
    <w:rsid w:val="2D9E5898"/>
    <w:rsid w:val="2DD942D8"/>
    <w:rsid w:val="2DDA56D7"/>
    <w:rsid w:val="2DDC0F11"/>
    <w:rsid w:val="2E0C3A16"/>
    <w:rsid w:val="2E3F4230"/>
    <w:rsid w:val="2ED04F66"/>
    <w:rsid w:val="2F1271DD"/>
    <w:rsid w:val="2F207C1B"/>
    <w:rsid w:val="2FA772B8"/>
    <w:rsid w:val="2FAD2427"/>
    <w:rsid w:val="2FB63537"/>
    <w:rsid w:val="2FC260DA"/>
    <w:rsid w:val="2FC725D3"/>
    <w:rsid w:val="2FCC4ED1"/>
    <w:rsid w:val="30052281"/>
    <w:rsid w:val="301A3290"/>
    <w:rsid w:val="3061271D"/>
    <w:rsid w:val="309C64D5"/>
    <w:rsid w:val="310C7F1D"/>
    <w:rsid w:val="32355210"/>
    <w:rsid w:val="32562C36"/>
    <w:rsid w:val="32810F93"/>
    <w:rsid w:val="329D53F6"/>
    <w:rsid w:val="32AE70BE"/>
    <w:rsid w:val="33D80771"/>
    <w:rsid w:val="340D063A"/>
    <w:rsid w:val="349F1C25"/>
    <w:rsid w:val="34D92DC4"/>
    <w:rsid w:val="352E4932"/>
    <w:rsid w:val="359411A1"/>
    <w:rsid w:val="35B848DE"/>
    <w:rsid w:val="35BF0C09"/>
    <w:rsid w:val="368318F0"/>
    <w:rsid w:val="388E3564"/>
    <w:rsid w:val="38D9077C"/>
    <w:rsid w:val="39576CC5"/>
    <w:rsid w:val="39880C7D"/>
    <w:rsid w:val="3A527327"/>
    <w:rsid w:val="3A962C91"/>
    <w:rsid w:val="3AAC37B2"/>
    <w:rsid w:val="3AC3111A"/>
    <w:rsid w:val="3BF57816"/>
    <w:rsid w:val="3C3A54B5"/>
    <w:rsid w:val="3D441948"/>
    <w:rsid w:val="3D4C5F94"/>
    <w:rsid w:val="3E1B43B6"/>
    <w:rsid w:val="3ED91810"/>
    <w:rsid w:val="3EEF54C7"/>
    <w:rsid w:val="3F512C43"/>
    <w:rsid w:val="3FCF6241"/>
    <w:rsid w:val="3FE522A3"/>
    <w:rsid w:val="400C0D2C"/>
    <w:rsid w:val="40505D61"/>
    <w:rsid w:val="406801AF"/>
    <w:rsid w:val="40720927"/>
    <w:rsid w:val="40854722"/>
    <w:rsid w:val="40EF7456"/>
    <w:rsid w:val="41473C19"/>
    <w:rsid w:val="41CB7ECC"/>
    <w:rsid w:val="41F11862"/>
    <w:rsid w:val="424B5FEB"/>
    <w:rsid w:val="43367E1F"/>
    <w:rsid w:val="4357717C"/>
    <w:rsid w:val="43BE6DFB"/>
    <w:rsid w:val="44943B95"/>
    <w:rsid w:val="44985BC6"/>
    <w:rsid w:val="45B130A9"/>
    <w:rsid w:val="46843F95"/>
    <w:rsid w:val="46D26D0D"/>
    <w:rsid w:val="46D87E78"/>
    <w:rsid w:val="470831F3"/>
    <w:rsid w:val="47521D22"/>
    <w:rsid w:val="477521A4"/>
    <w:rsid w:val="47A42FD5"/>
    <w:rsid w:val="47A83E32"/>
    <w:rsid w:val="47B40AF4"/>
    <w:rsid w:val="48CD3843"/>
    <w:rsid w:val="48F117F7"/>
    <w:rsid w:val="492E619F"/>
    <w:rsid w:val="49C063B1"/>
    <w:rsid w:val="4A217098"/>
    <w:rsid w:val="4A8063A5"/>
    <w:rsid w:val="4AA42767"/>
    <w:rsid w:val="4AF02F3B"/>
    <w:rsid w:val="4B6C7AEC"/>
    <w:rsid w:val="4B9A4D59"/>
    <w:rsid w:val="4C2B07B0"/>
    <w:rsid w:val="4C682C1F"/>
    <w:rsid w:val="4D090EF8"/>
    <w:rsid w:val="4D951D26"/>
    <w:rsid w:val="4E101F7B"/>
    <w:rsid w:val="4F2D3015"/>
    <w:rsid w:val="4F44363C"/>
    <w:rsid w:val="5044617C"/>
    <w:rsid w:val="507D0823"/>
    <w:rsid w:val="50DA4426"/>
    <w:rsid w:val="52030EA6"/>
    <w:rsid w:val="523B4546"/>
    <w:rsid w:val="52AB44F8"/>
    <w:rsid w:val="5447048D"/>
    <w:rsid w:val="548C45D3"/>
    <w:rsid w:val="54F860E9"/>
    <w:rsid w:val="554B007E"/>
    <w:rsid w:val="55B73944"/>
    <w:rsid w:val="55E36DDD"/>
    <w:rsid w:val="566576FF"/>
    <w:rsid w:val="56BC7532"/>
    <w:rsid w:val="572977FE"/>
    <w:rsid w:val="57966413"/>
    <w:rsid w:val="583C5F5D"/>
    <w:rsid w:val="585E3942"/>
    <w:rsid w:val="58620170"/>
    <w:rsid w:val="590D4433"/>
    <w:rsid w:val="592F1EDD"/>
    <w:rsid w:val="593A5AB0"/>
    <w:rsid w:val="596F5803"/>
    <w:rsid w:val="597B5319"/>
    <w:rsid w:val="59D033B8"/>
    <w:rsid w:val="59DB3ADF"/>
    <w:rsid w:val="5A0065A6"/>
    <w:rsid w:val="5A86381C"/>
    <w:rsid w:val="5AEB7EBF"/>
    <w:rsid w:val="5B6656CF"/>
    <w:rsid w:val="5C3A6F70"/>
    <w:rsid w:val="5CCE3197"/>
    <w:rsid w:val="5D2D2508"/>
    <w:rsid w:val="5DAD134F"/>
    <w:rsid w:val="5DE07592"/>
    <w:rsid w:val="5E186200"/>
    <w:rsid w:val="5E265155"/>
    <w:rsid w:val="5E3B4BF6"/>
    <w:rsid w:val="5F4B02A7"/>
    <w:rsid w:val="5FE4608A"/>
    <w:rsid w:val="604227C3"/>
    <w:rsid w:val="60722B1C"/>
    <w:rsid w:val="609D0C81"/>
    <w:rsid w:val="60DE4C9F"/>
    <w:rsid w:val="61825AB5"/>
    <w:rsid w:val="619407AB"/>
    <w:rsid w:val="625817B7"/>
    <w:rsid w:val="62693F6B"/>
    <w:rsid w:val="62700D45"/>
    <w:rsid w:val="62916B8D"/>
    <w:rsid w:val="634E2533"/>
    <w:rsid w:val="638D7383"/>
    <w:rsid w:val="63AF2E65"/>
    <w:rsid w:val="63EB54CA"/>
    <w:rsid w:val="64053EC6"/>
    <w:rsid w:val="6416550D"/>
    <w:rsid w:val="65A1489C"/>
    <w:rsid w:val="66A772B7"/>
    <w:rsid w:val="673D46AD"/>
    <w:rsid w:val="67571051"/>
    <w:rsid w:val="681D6B19"/>
    <w:rsid w:val="692A0601"/>
    <w:rsid w:val="69524B00"/>
    <w:rsid w:val="69757766"/>
    <w:rsid w:val="699278A6"/>
    <w:rsid w:val="69B533A3"/>
    <w:rsid w:val="69F33129"/>
    <w:rsid w:val="6A5F0A39"/>
    <w:rsid w:val="6AD0429B"/>
    <w:rsid w:val="6B220BAD"/>
    <w:rsid w:val="6B3174FC"/>
    <w:rsid w:val="6B4068C6"/>
    <w:rsid w:val="6B904035"/>
    <w:rsid w:val="6BC53131"/>
    <w:rsid w:val="6BCF63E8"/>
    <w:rsid w:val="6C1163B3"/>
    <w:rsid w:val="6CEB0359"/>
    <w:rsid w:val="6D4C7896"/>
    <w:rsid w:val="6D7069B2"/>
    <w:rsid w:val="6E0154E6"/>
    <w:rsid w:val="6E873DAF"/>
    <w:rsid w:val="6ECF2631"/>
    <w:rsid w:val="6EE02460"/>
    <w:rsid w:val="6F671721"/>
    <w:rsid w:val="6FFC6AEF"/>
    <w:rsid w:val="707B70D2"/>
    <w:rsid w:val="70DB36AD"/>
    <w:rsid w:val="70F43070"/>
    <w:rsid w:val="7111646C"/>
    <w:rsid w:val="71207954"/>
    <w:rsid w:val="71217A08"/>
    <w:rsid w:val="71231F88"/>
    <w:rsid w:val="71C51C09"/>
    <w:rsid w:val="71C73228"/>
    <w:rsid w:val="720D2C66"/>
    <w:rsid w:val="7240115C"/>
    <w:rsid w:val="72AC372A"/>
    <w:rsid w:val="72BE15EB"/>
    <w:rsid w:val="72D955E1"/>
    <w:rsid w:val="72DB36FD"/>
    <w:rsid w:val="73AD7D52"/>
    <w:rsid w:val="73BD62B1"/>
    <w:rsid w:val="73E770EB"/>
    <w:rsid w:val="74136E9C"/>
    <w:rsid w:val="74FE7628"/>
    <w:rsid w:val="751245D1"/>
    <w:rsid w:val="75751BB4"/>
    <w:rsid w:val="761E5F53"/>
    <w:rsid w:val="764C225F"/>
    <w:rsid w:val="768F2505"/>
    <w:rsid w:val="76B74344"/>
    <w:rsid w:val="76F20BD7"/>
    <w:rsid w:val="77160DC2"/>
    <w:rsid w:val="775641DE"/>
    <w:rsid w:val="77A729B4"/>
    <w:rsid w:val="77ED47CF"/>
    <w:rsid w:val="77F659A7"/>
    <w:rsid w:val="78203FB3"/>
    <w:rsid w:val="78470C59"/>
    <w:rsid w:val="78E46319"/>
    <w:rsid w:val="78F44AE4"/>
    <w:rsid w:val="79D40A69"/>
    <w:rsid w:val="79E65E3D"/>
    <w:rsid w:val="7A1B038B"/>
    <w:rsid w:val="7B3534CF"/>
    <w:rsid w:val="7B406F9F"/>
    <w:rsid w:val="7BCB6779"/>
    <w:rsid w:val="7BCC1673"/>
    <w:rsid w:val="7C377A20"/>
    <w:rsid w:val="7C6D3710"/>
    <w:rsid w:val="7CA91AEC"/>
    <w:rsid w:val="7CC23F5E"/>
    <w:rsid w:val="7D5C6BC0"/>
    <w:rsid w:val="7DD44E5B"/>
    <w:rsid w:val="7DDA720E"/>
    <w:rsid w:val="7DE95993"/>
    <w:rsid w:val="7E6336A2"/>
    <w:rsid w:val="7E8D44C9"/>
    <w:rsid w:val="7E943CA8"/>
    <w:rsid w:val="7EF956D8"/>
    <w:rsid w:val="7F072D3B"/>
    <w:rsid w:val="7F360AB9"/>
    <w:rsid w:val="7F877725"/>
    <w:rsid w:val="7FC8448D"/>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after="140" w:line="276" w:lineRule="auto"/>
    </w:pPr>
  </w:style>
  <w:style w:type="paragraph" w:styleId="5">
    <w:name w:val="caption"/>
    <w:basedOn w:val="1"/>
    <w:next w:val="1"/>
    <w:qFormat/>
    <w:uiPriority w:val="0"/>
    <w:pPr>
      <w:suppressLineNumbers/>
      <w:spacing w:before="120" w:after="120"/>
    </w:pPr>
    <w:rPr>
      <w:rFonts w:cs="Arial"/>
      <w:i/>
      <w:iCs/>
      <w:sz w:val="24"/>
      <w:szCs w:val="24"/>
    </w:rPr>
  </w:style>
  <w:style w:type="paragraph" w:styleId="6">
    <w:name w:val="annotation text"/>
    <w:basedOn w:val="1"/>
    <w:semiHidden/>
    <w:unhideWhenUsed/>
    <w:qFormat/>
    <w:uiPriority w:val="99"/>
  </w:style>
  <w:style w:type="paragraph" w:styleId="7">
    <w:name w:val="footer"/>
    <w:basedOn w:val="1"/>
    <w:link w:val="14"/>
    <w:unhideWhenUsed/>
    <w:qFormat/>
    <w:uiPriority w:val="99"/>
    <w:pPr>
      <w:tabs>
        <w:tab w:val="center" w:pos="4680"/>
        <w:tab w:val="right" w:pos="9360"/>
      </w:tabs>
      <w:spacing w:after="0" w:line="240" w:lineRule="auto"/>
    </w:pPr>
  </w:style>
  <w:style w:type="paragraph" w:styleId="8">
    <w:name w:val="header"/>
    <w:basedOn w:val="1"/>
    <w:link w:val="13"/>
    <w:unhideWhenUsed/>
    <w:qFormat/>
    <w:uiPriority w:val="99"/>
    <w:pPr>
      <w:tabs>
        <w:tab w:val="center" w:pos="4680"/>
        <w:tab w:val="right" w:pos="9360"/>
      </w:tabs>
      <w:spacing w:after="0" w:line="240" w:lineRule="auto"/>
    </w:pPr>
  </w:style>
  <w:style w:type="character" w:styleId="9">
    <w:name w:val="Hyperlink"/>
    <w:basedOn w:val="2"/>
    <w:semiHidden/>
    <w:unhideWhenUsed/>
    <w:qFormat/>
    <w:uiPriority w:val="99"/>
    <w:rPr>
      <w:color w:val="0000FF"/>
      <w:u w:val="single"/>
    </w:rPr>
  </w:style>
  <w:style w:type="paragraph" w:styleId="10">
    <w:name w:val="List"/>
    <w:basedOn w:val="4"/>
    <w:qFormat/>
    <w:uiPriority w:val="0"/>
    <w:rPr>
      <w:rFonts w:cs="Arial"/>
    </w:rPr>
  </w:style>
  <w:style w:type="paragraph" w:styleId="11">
    <w:name w:val="Normal (Web)"/>
    <w:basedOn w:val="1"/>
    <w:qFormat/>
    <w:uiPriority w:val="0"/>
    <w:pPr>
      <w:spacing w:before="280" w:after="280"/>
    </w:pPr>
    <w:rPr>
      <w:color w:val="000000"/>
    </w:rPr>
  </w:style>
  <w:style w:type="table" w:styleId="12">
    <w:name w:val="Table Grid"/>
    <w:basedOn w:val="3"/>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Header Char"/>
    <w:basedOn w:val="2"/>
    <w:link w:val="8"/>
    <w:qFormat/>
    <w:uiPriority w:val="99"/>
  </w:style>
  <w:style w:type="character" w:customStyle="1" w:styleId="14">
    <w:name w:val="Footer Char"/>
    <w:basedOn w:val="2"/>
    <w:link w:val="7"/>
    <w:qFormat/>
    <w:uiPriority w:val="99"/>
  </w:style>
  <w:style w:type="character" w:customStyle="1" w:styleId="15">
    <w:name w:val="Internet Link"/>
    <w:basedOn w:val="2"/>
    <w:unhideWhenUsed/>
    <w:qFormat/>
    <w:uiPriority w:val="99"/>
    <w:rPr>
      <w:color w:val="0563C1" w:themeColor="hyperlink"/>
      <w:u w:val="single"/>
      <w14:textFill>
        <w14:solidFill>
          <w14:schemeClr w14:val="hlink"/>
        </w14:solidFill>
      </w14:textFill>
    </w:rPr>
  </w:style>
  <w:style w:type="paragraph" w:customStyle="1" w:styleId="16">
    <w:name w:val="Heading"/>
    <w:basedOn w:val="1"/>
    <w:next w:val="4"/>
    <w:qFormat/>
    <w:uiPriority w:val="0"/>
    <w:pPr>
      <w:keepNext/>
      <w:spacing w:before="240" w:after="120"/>
    </w:pPr>
    <w:rPr>
      <w:rFonts w:ascii="Liberation Sans" w:hAnsi="Liberation Sans" w:eastAsia="Microsoft YaHei" w:cs="Arial"/>
      <w:sz w:val="28"/>
      <w:szCs w:val="28"/>
    </w:rPr>
  </w:style>
  <w:style w:type="paragraph" w:customStyle="1" w:styleId="17">
    <w:name w:val="Index"/>
    <w:basedOn w:val="1"/>
    <w:qFormat/>
    <w:uiPriority w:val="0"/>
    <w:pPr>
      <w:suppressLineNumbers/>
    </w:pPr>
    <w:rPr>
      <w:rFonts w:cs="Arial"/>
    </w:rPr>
  </w:style>
  <w:style w:type="paragraph" w:customStyle="1" w:styleId="18">
    <w:name w:val="Caracter Caracter"/>
    <w:basedOn w:val="1"/>
    <w:qFormat/>
    <w:uiPriority w:val="0"/>
    <w:pPr>
      <w:spacing w:after="0" w:line="240" w:lineRule="auto"/>
    </w:pPr>
    <w:rPr>
      <w:rFonts w:ascii="Times New Roman" w:hAnsi="Times New Roman" w:eastAsia="Times New Roman" w:cs="Times New Roman"/>
      <w:sz w:val="24"/>
      <w:szCs w:val="24"/>
      <w:lang w:val="pl-PL" w:eastAsia="pl-PL"/>
    </w:rPr>
  </w:style>
  <w:style w:type="paragraph" w:customStyle="1" w:styleId="19">
    <w:name w:val="Frame Contents"/>
    <w:basedOn w:val="1"/>
    <w:qFormat/>
    <w:uiPriority w:val="0"/>
  </w:style>
  <w:style w:type="paragraph" w:customStyle="1" w:styleId="20">
    <w:name w:val="Default Text:1"/>
    <w:basedOn w:val="1"/>
    <w:qFormat/>
    <w:uiPriority w:val="0"/>
    <w:rPr>
      <w:szCs w:val="20"/>
      <w:lang w:eastAsia="ar-SA"/>
    </w:rPr>
  </w:style>
  <w:style w:type="paragraph" w:customStyle="1" w:styleId="21">
    <w:name w:val="Default Text:2"/>
    <w:basedOn w:val="1"/>
    <w:qFormat/>
    <w:uiPriority w:val="0"/>
    <w:pPr>
      <w:overflowPunct w:val="0"/>
      <w:autoSpaceDE w:val="0"/>
    </w:pPr>
    <w:rPr>
      <w:kern w:val="2"/>
      <w:szCs w:val="20"/>
    </w:rPr>
  </w:style>
  <w:style w:type="paragraph" w:customStyle="1" w:styleId="22">
    <w:name w:val="Default Text"/>
    <w:basedOn w:val="1"/>
    <w:qFormat/>
    <w:uiPriority w:val="0"/>
    <w:pPr>
      <w:autoSpaceDE w:val="0"/>
    </w:pPr>
  </w:style>
  <w:style w:type="paragraph" w:customStyle="1" w:styleId="23">
    <w:name w:val="Caracter Caracter1"/>
    <w:basedOn w:val="1"/>
    <w:qFormat/>
    <w:uiPriority w:val="0"/>
    <w:rPr>
      <w:szCs w:val="24"/>
      <w:lang w:val="pl-PL"/>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3</Pages>
  <Words>1012</Words>
  <Characters>5773</Characters>
  <Lines>48</Lines>
  <Paragraphs>13</Paragraphs>
  <TotalTime>0</TotalTime>
  <ScaleCrop>false</ScaleCrop>
  <LinksUpToDate>false</LinksUpToDate>
  <CharactersWithSpaces>6772</CharactersWithSpaces>
  <Application>WPS Office_11.2.0.10351_F1E327BC-269C-435d-A152-05C5408002CA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2021-06-24T07:29:00Z</dcterms:created>
  <dc:creator>CRISTIAN-NICOLAE MARIN</dc:creator>
  <cp:lastModifiedBy>49073745</cp:lastModifiedBy>
  <cp:lastPrinted>2025-05-05T12:22:00Z</cp:lastPrinted>
  <dcterms:modified xsi:type="dcterms:W3CDTF">2025-12-18T11:30:36Z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Ministerul Finantelor Publice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1033-11.2.0.10351</vt:lpwstr>
  </property>
  <property fmtid="{D5CDD505-2E9C-101B-9397-08002B2CF9AE}" pid="10" name="ICV">
    <vt:lpwstr>6A8DB800DB8145449D88BDF9838E5510</vt:lpwstr>
  </property>
</Properties>
</file>